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CEO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  <w:t xml:space="preserve">Videofruit LLC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1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tblGridChange w:id="0">
          <w:tblGrid>
            <w:gridCol w:w="86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contextualSpacing w:val="1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Set and refine Videofruit’s vision.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Continually reinforce the vision with our mission and values.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Sell everyone on the team so that there is a crusade.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Build a world-class team.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Get the right people on the bus.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Get people in the right seat.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Train people so they are great.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Retain great people.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Maximize profitability within the context of Videofruit’s vision.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we maintain enough funds to operate effectively.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profitability over time.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contextualSpacing w:val="1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Reward employees handsomely.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Do employees demonstrate appropriate knowledge of the company vision?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Are the right people on the bus quantitatively?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Do we have enough money?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Visionary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Exceptional leadership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Lifelong learner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Approachable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Able to seamlessly float between the high-level strategic and the low-level tactical without losing perspective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Excels at money (financially responsible, thinks in terms of return on investment [ROI])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Balances soliciting input with assertive decision-making</w:t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